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5DA" w14:textId="4E8BC831" w:rsidR="007268C4" w:rsidRDefault="002E51AF" w:rsidP="00EE225D">
      <w:pPr>
        <w:pStyle w:val="BodyText"/>
        <w:ind w:left="3772"/>
        <w:jc w:val="both"/>
        <w:rPr>
          <w:rFonts w:ascii="Times New Roman"/>
        </w:rPr>
      </w:pPr>
      <w:r>
        <w:rPr>
          <w:rFonts w:ascii="Times New Roman"/>
          <w:noProof/>
        </w:rPr>
        <w:drawing>
          <wp:anchor distT="0" distB="0" distL="114300" distR="114300" simplePos="0" relativeHeight="251658240" behindDoc="0" locked="0" layoutInCell="1" allowOverlap="1" wp14:anchorId="56F71316" wp14:editId="4C4388F7">
            <wp:simplePos x="0" y="0"/>
            <wp:positionH relativeFrom="column">
              <wp:posOffset>62865</wp:posOffset>
            </wp:positionH>
            <wp:positionV relativeFrom="paragraph">
              <wp:posOffset>38100</wp:posOffset>
            </wp:positionV>
            <wp:extent cx="2459355" cy="86106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8610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4384" behindDoc="1" locked="0" layoutInCell="1" allowOverlap="1" wp14:anchorId="7FD17677" wp14:editId="298BB7EE">
            <wp:simplePos x="0" y="0"/>
            <wp:positionH relativeFrom="column">
              <wp:posOffset>4207510</wp:posOffset>
            </wp:positionH>
            <wp:positionV relativeFrom="paragraph">
              <wp:posOffset>11430</wp:posOffset>
            </wp:positionV>
            <wp:extent cx="1181796" cy="1204928"/>
            <wp:effectExtent l="0" t="0" r="0" b="0"/>
            <wp:wrapNone/>
            <wp:docPr id="2" name="Picture 2" descr="HDS Accredited with Exemplary Standing - At Hotel Dieu Shaver - Hotel Dieu  Sh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DS Accredited with Exemplary Standing - At Hotel Dieu Shaver - Hotel Dieu  Shave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81796" cy="12049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rPr>
        <w:drawing>
          <wp:anchor distT="0" distB="0" distL="114300" distR="114300" simplePos="0" relativeHeight="251662336" behindDoc="0" locked="0" layoutInCell="1" allowOverlap="1" wp14:anchorId="4A16D761" wp14:editId="653BE69F">
            <wp:simplePos x="0" y="0"/>
            <wp:positionH relativeFrom="column">
              <wp:posOffset>5374640</wp:posOffset>
            </wp:positionH>
            <wp:positionV relativeFrom="paragraph">
              <wp:posOffset>7620</wp:posOffset>
            </wp:positionV>
            <wp:extent cx="1294130" cy="1209675"/>
            <wp:effectExtent l="0" t="0" r="1270"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471D6" w14:textId="6AE6992E" w:rsidR="007268C4" w:rsidRDefault="007268C4">
      <w:pPr>
        <w:pStyle w:val="BodyText"/>
        <w:spacing w:before="6"/>
        <w:rPr>
          <w:rFonts w:ascii="Times New Roman"/>
          <w:sz w:val="4"/>
        </w:rPr>
      </w:pPr>
    </w:p>
    <w:p w14:paraId="63D34D2D" w14:textId="5FB1475F" w:rsidR="00EE225D" w:rsidRDefault="00EE225D">
      <w:pPr>
        <w:pStyle w:val="BodyText"/>
        <w:spacing w:before="6"/>
        <w:rPr>
          <w:rFonts w:ascii="Times New Roman"/>
          <w:sz w:val="4"/>
        </w:rPr>
      </w:pPr>
    </w:p>
    <w:p w14:paraId="32B5943C" w14:textId="3C5EB0F8" w:rsidR="00EE225D" w:rsidRDefault="00EE225D">
      <w:pPr>
        <w:pStyle w:val="BodyText"/>
        <w:spacing w:before="6"/>
        <w:rPr>
          <w:rFonts w:ascii="Times New Roman"/>
          <w:sz w:val="4"/>
        </w:rPr>
      </w:pPr>
    </w:p>
    <w:p w14:paraId="051B0A86" w14:textId="3089F114" w:rsidR="00EE225D" w:rsidRPr="00EE225D" w:rsidRDefault="00EE225D" w:rsidP="00EE225D"/>
    <w:p w14:paraId="44F7534B" w14:textId="5F434A39" w:rsidR="00EE225D" w:rsidRDefault="00EE225D" w:rsidP="00EE225D">
      <w:pPr>
        <w:rPr>
          <w:rFonts w:ascii="Times New Roman" w:eastAsia="Calibri" w:hAnsi="Calibri" w:cs="Calibri"/>
          <w:sz w:val="4"/>
          <w:szCs w:val="20"/>
        </w:rPr>
      </w:pPr>
    </w:p>
    <w:p w14:paraId="33834EB7" w14:textId="62ED1EFE" w:rsidR="00EE225D" w:rsidRDefault="00EE225D" w:rsidP="00EE225D">
      <w:pPr>
        <w:rPr>
          <w:rFonts w:ascii="Times New Roman" w:eastAsia="Calibri" w:hAnsi="Calibri" w:cs="Calibri"/>
          <w:sz w:val="4"/>
          <w:szCs w:val="20"/>
        </w:rPr>
      </w:pPr>
    </w:p>
    <w:p w14:paraId="056B62E2" w14:textId="14BD9BF9" w:rsidR="00EE225D" w:rsidRDefault="00EE225D" w:rsidP="00EE225D"/>
    <w:p w14:paraId="09DEEE38" w14:textId="162AC4EB" w:rsidR="00EE225D" w:rsidRDefault="00EE225D" w:rsidP="00EE225D"/>
    <w:p w14:paraId="01D13BEC" w14:textId="6E50B053" w:rsidR="002E51AF" w:rsidRDefault="002E51AF" w:rsidP="00EE225D"/>
    <w:p w14:paraId="28894409" w14:textId="3503C5B1" w:rsidR="002E51AF" w:rsidRDefault="002E51AF" w:rsidP="00EE225D"/>
    <w:p w14:paraId="6CC3E885" w14:textId="32BC32A0" w:rsidR="002E51AF" w:rsidRDefault="002E51AF" w:rsidP="00EE225D"/>
    <w:p w14:paraId="78EEE4C9" w14:textId="638BE900" w:rsidR="002E51AF" w:rsidRDefault="002E51AF" w:rsidP="00EE225D"/>
    <w:p w14:paraId="09767FBE" w14:textId="77777777" w:rsidR="002E51AF" w:rsidRPr="00EE225D" w:rsidRDefault="002E51AF" w:rsidP="00EE225D"/>
    <w:tbl>
      <w:tblPr>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3209"/>
        <w:gridCol w:w="2251"/>
        <w:gridCol w:w="3277"/>
      </w:tblGrid>
      <w:tr w:rsidR="007268C4" w:rsidRPr="006A669B" w14:paraId="3C8A00C9" w14:textId="77777777" w:rsidTr="00970CAA">
        <w:trPr>
          <w:trHeight w:val="287"/>
        </w:trPr>
        <w:tc>
          <w:tcPr>
            <w:tcW w:w="2179" w:type="dxa"/>
            <w:shd w:val="clear" w:color="auto" w:fill="DBE4F0"/>
          </w:tcPr>
          <w:p w14:paraId="430FD91D" w14:textId="77777777" w:rsidR="007268C4" w:rsidRPr="006A669B" w:rsidRDefault="00267159">
            <w:pPr>
              <w:pStyle w:val="TableParagraph"/>
              <w:spacing w:before="54"/>
              <w:rPr>
                <w:b/>
              </w:rPr>
            </w:pPr>
            <w:r w:rsidRPr="006A669B">
              <w:rPr>
                <w:b/>
              </w:rPr>
              <w:t>Job Title:</w:t>
            </w:r>
          </w:p>
        </w:tc>
        <w:tc>
          <w:tcPr>
            <w:tcW w:w="8737" w:type="dxa"/>
            <w:gridSpan w:val="3"/>
          </w:tcPr>
          <w:p w14:paraId="5208F41E" w14:textId="468EC3F1" w:rsidR="007268C4" w:rsidRPr="006A669B" w:rsidRDefault="00877D5D">
            <w:pPr>
              <w:pStyle w:val="TableParagraph"/>
              <w:spacing w:before="54"/>
              <w:rPr>
                <w:b/>
              </w:rPr>
            </w:pPr>
            <w:r w:rsidRPr="006A669B">
              <w:rPr>
                <w:b/>
              </w:rPr>
              <w:t>Finance</w:t>
            </w:r>
            <w:r w:rsidR="00970CAA" w:rsidRPr="006A669B">
              <w:rPr>
                <w:b/>
              </w:rPr>
              <w:t xml:space="preserve"> Manager</w:t>
            </w:r>
          </w:p>
        </w:tc>
      </w:tr>
      <w:tr w:rsidR="007268C4" w:rsidRPr="006A669B" w14:paraId="49BDD8ED" w14:textId="77777777" w:rsidTr="00970CAA">
        <w:trPr>
          <w:trHeight w:val="556"/>
        </w:trPr>
        <w:tc>
          <w:tcPr>
            <w:tcW w:w="2179" w:type="dxa"/>
            <w:shd w:val="clear" w:color="auto" w:fill="DBE4F0"/>
          </w:tcPr>
          <w:p w14:paraId="154CE95A" w14:textId="77777777" w:rsidR="007268C4" w:rsidRPr="006A669B" w:rsidRDefault="00267159">
            <w:pPr>
              <w:pStyle w:val="TableParagraph"/>
              <w:spacing w:before="54"/>
              <w:rPr>
                <w:b/>
              </w:rPr>
            </w:pPr>
            <w:r w:rsidRPr="006A669B">
              <w:rPr>
                <w:b/>
              </w:rPr>
              <w:t>Department/Group:</w:t>
            </w:r>
          </w:p>
        </w:tc>
        <w:tc>
          <w:tcPr>
            <w:tcW w:w="3209" w:type="dxa"/>
          </w:tcPr>
          <w:p w14:paraId="42A0DC5D" w14:textId="2C96E7AF" w:rsidR="007268C4" w:rsidRPr="006A669B" w:rsidRDefault="00970CAA">
            <w:pPr>
              <w:pStyle w:val="TableParagraph"/>
              <w:spacing w:before="59"/>
            </w:pPr>
            <w:r w:rsidRPr="006A669B">
              <w:t>Management</w:t>
            </w:r>
          </w:p>
        </w:tc>
        <w:tc>
          <w:tcPr>
            <w:tcW w:w="2251" w:type="dxa"/>
            <w:shd w:val="clear" w:color="auto" w:fill="DBE4F0"/>
          </w:tcPr>
          <w:p w14:paraId="3032BE3E" w14:textId="4365A862" w:rsidR="007268C4" w:rsidRPr="006A669B" w:rsidRDefault="00267159">
            <w:pPr>
              <w:pStyle w:val="TableParagraph"/>
              <w:spacing w:before="54"/>
              <w:ind w:left="108" w:right="223"/>
              <w:rPr>
                <w:b/>
              </w:rPr>
            </w:pPr>
            <w:r w:rsidRPr="006A669B">
              <w:rPr>
                <w:b/>
              </w:rPr>
              <w:t>Position Type (FT, PT, Relief, etc.):</w:t>
            </w:r>
          </w:p>
        </w:tc>
        <w:tc>
          <w:tcPr>
            <w:tcW w:w="3277" w:type="dxa"/>
          </w:tcPr>
          <w:p w14:paraId="25B91DED" w14:textId="1949FF21" w:rsidR="007268C4" w:rsidRPr="006A669B" w:rsidRDefault="00267159">
            <w:pPr>
              <w:pStyle w:val="TableParagraph"/>
              <w:spacing w:before="59"/>
              <w:ind w:left="108"/>
            </w:pPr>
            <w:r w:rsidRPr="006A669B">
              <w:t>Full Time</w:t>
            </w:r>
          </w:p>
        </w:tc>
      </w:tr>
      <w:tr w:rsidR="007268C4" w:rsidRPr="006A669B" w14:paraId="1C3021B1" w14:textId="77777777" w:rsidTr="00970CAA">
        <w:trPr>
          <w:trHeight w:val="493"/>
        </w:trPr>
        <w:tc>
          <w:tcPr>
            <w:tcW w:w="2179" w:type="dxa"/>
            <w:shd w:val="clear" w:color="auto" w:fill="DBE4F0"/>
          </w:tcPr>
          <w:p w14:paraId="1337CF0C" w14:textId="77777777" w:rsidR="007268C4" w:rsidRPr="006A669B" w:rsidRDefault="00267159">
            <w:pPr>
              <w:pStyle w:val="TableParagraph"/>
              <w:spacing w:before="54"/>
              <w:rPr>
                <w:b/>
              </w:rPr>
            </w:pPr>
            <w:r w:rsidRPr="006A669B">
              <w:rPr>
                <w:b/>
              </w:rPr>
              <w:t>Location:</w:t>
            </w:r>
          </w:p>
        </w:tc>
        <w:tc>
          <w:tcPr>
            <w:tcW w:w="3209" w:type="dxa"/>
          </w:tcPr>
          <w:p w14:paraId="73CF8C45" w14:textId="77777777" w:rsidR="00970CAA" w:rsidRPr="006A669B" w:rsidRDefault="00970CAA">
            <w:pPr>
              <w:pStyle w:val="TableParagraph"/>
              <w:spacing w:before="59"/>
              <w:ind w:right="151"/>
            </w:pPr>
            <w:r w:rsidRPr="006A669B">
              <w:t>Hybrid</w:t>
            </w:r>
          </w:p>
          <w:p w14:paraId="460AF127" w14:textId="55A9F2AC" w:rsidR="00970CAA" w:rsidRPr="006A669B" w:rsidRDefault="00267159">
            <w:pPr>
              <w:pStyle w:val="TableParagraph"/>
              <w:spacing w:before="59"/>
              <w:ind w:right="151"/>
            </w:pPr>
            <w:r w:rsidRPr="006A669B">
              <w:t xml:space="preserve">Peel Senior Link </w:t>
            </w:r>
          </w:p>
          <w:p w14:paraId="5F0EB5C1" w14:textId="0051327F" w:rsidR="007268C4" w:rsidRPr="006A669B" w:rsidRDefault="00970CAA">
            <w:pPr>
              <w:pStyle w:val="TableParagraph"/>
              <w:spacing w:before="59"/>
              <w:ind w:right="151"/>
            </w:pPr>
            <w:r w:rsidRPr="006A669B">
              <w:t xml:space="preserve">50 </w:t>
            </w:r>
            <w:proofErr w:type="spellStart"/>
            <w:r w:rsidRPr="006A669B">
              <w:t>Burnhamthorpe</w:t>
            </w:r>
            <w:proofErr w:type="spellEnd"/>
            <w:r w:rsidRPr="006A669B">
              <w:t xml:space="preserve"> Rd West, Mississauga, ON L5B 3C2</w:t>
            </w:r>
          </w:p>
        </w:tc>
        <w:tc>
          <w:tcPr>
            <w:tcW w:w="2251" w:type="dxa"/>
            <w:shd w:val="clear" w:color="auto" w:fill="DBE4F0"/>
          </w:tcPr>
          <w:p w14:paraId="525FA85F" w14:textId="77777777" w:rsidR="007268C4" w:rsidRPr="006A669B" w:rsidRDefault="00267159">
            <w:pPr>
              <w:pStyle w:val="TableParagraph"/>
              <w:spacing w:before="54"/>
              <w:ind w:left="108"/>
              <w:rPr>
                <w:b/>
              </w:rPr>
            </w:pPr>
            <w:r w:rsidRPr="006A669B">
              <w:rPr>
                <w:b/>
              </w:rPr>
              <w:t>Level/Salary Range:</w:t>
            </w:r>
          </w:p>
        </w:tc>
        <w:tc>
          <w:tcPr>
            <w:tcW w:w="3277" w:type="dxa"/>
          </w:tcPr>
          <w:p w14:paraId="42CB2882" w14:textId="77777777" w:rsidR="00970CAA" w:rsidRPr="006A669B" w:rsidRDefault="00970CAA" w:rsidP="00970CAA">
            <w:pPr>
              <w:pStyle w:val="TableParagraph"/>
              <w:spacing w:before="57"/>
              <w:ind w:right="96"/>
              <w:jc w:val="both"/>
              <w:rPr>
                <w:bCs/>
              </w:rPr>
            </w:pPr>
            <w:r w:rsidRPr="006A669B">
              <w:rPr>
                <w:bCs/>
              </w:rPr>
              <w:t>$73,600.00 - $80,000 per year</w:t>
            </w:r>
          </w:p>
          <w:p w14:paraId="3ACB16A2" w14:textId="7C0ABB94" w:rsidR="007268C4" w:rsidRPr="006A669B" w:rsidRDefault="007268C4">
            <w:pPr>
              <w:pStyle w:val="TableParagraph"/>
              <w:spacing w:before="59"/>
              <w:ind w:left="108"/>
            </w:pPr>
          </w:p>
        </w:tc>
      </w:tr>
      <w:tr w:rsidR="007268C4" w:rsidRPr="006A669B" w14:paraId="4FBB1AD5" w14:textId="77777777" w:rsidTr="00970CAA">
        <w:trPr>
          <w:trHeight w:val="1115"/>
        </w:trPr>
        <w:tc>
          <w:tcPr>
            <w:tcW w:w="5388" w:type="dxa"/>
            <w:gridSpan w:val="2"/>
          </w:tcPr>
          <w:p w14:paraId="3286FAF6" w14:textId="540CE3CB" w:rsidR="00267159" w:rsidRPr="006A669B" w:rsidRDefault="00267159" w:rsidP="00267159">
            <w:pPr>
              <w:pStyle w:val="TableParagraph"/>
              <w:spacing w:before="114" w:line="379" w:lineRule="auto"/>
              <w:ind w:right="1340"/>
              <w:rPr>
                <w:b/>
              </w:rPr>
            </w:pPr>
            <w:r w:rsidRPr="006A669B">
              <w:rPr>
                <w:b/>
              </w:rPr>
              <w:t xml:space="preserve">Contact Person: </w:t>
            </w:r>
            <w:r w:rsidR="00970CAA" w:rsidRPr="006A669B">
              <w:rPr>
                <w:b/>
              </w:rPr>
              <w:t>Althea Alli</w:t>
            </w:r>
          </w:p>
          <w:p w14:paraId="7D8938CC" w14:textId="6A996CE5" w:rsidR="007268C4" w:rsidRPr="006A669B" w:rsidRDefault="00267159">
            <w:pPr>
              <w:pStyle w:val="TableParagraph"/>
              <w:spacing w:before="114" w:line="379" w:lineRule="auto"/>
              <w:ind w:right="1609"/>
              <w:rPr>
                <w:b/>
              </w:rPr>
            </w:pPr>
            <w:r w:rsidRPr="006A669B">
              <w:rPr>
                <w:b/>
              </w:rPr>
              <w:t xml:space="preserve">Email: </w:t>
            </w:r>
            <w:r w:rsidR="00970CAA" w:rsidRPr="006A669B">
              <w:rPr>
                <w:b/>
              </w:rPr>
              <w:t>althea</w:t>
            </w:r>
            <w:r w:rsidRPr="006A669B">
              <w:rPr>
                <w:b/>
                <w:u w:val="single" w:color="0000FF"/>
              </w:rPr>
              <w:t>@peelseniorlink.com</w:t>
            </w:r>
          </w:p>
          <w:p w14:paraId="1454DE7A" w14:textId="77777777" w:rsidR="007268C4" w:rsidRPr="006A669B" w:rsidRDefault="00267159">
            <w:pPr>
              <w:pStyle w:val="TableParagraph"/>
              <w:spacing w:before="1"/>
              <w:rPr>
                <w:b/>
              </w:rPr>
            </w:pPr>
            <w:proofErr w:type="gramStart"/>
            <w:r w:rsidRPr="006A669B">
              <w:rPr>
                <w:b/>
              </w:rPr>
              <w:t>Fax :</w:t>
            </w:r>
            <w:proofErr w:type="gramEnd"/>
            <w:r w:rsidRPr="006A669B">
              <w:rPr>
                <w:b/>
              </w:rPr>
              <w:t xml:space="preserve"> 905-712-3373</w:t>
            </w:r>
          </w:p>
        </w:tc>
        <w:tc>
          <w:tcPr>
            <w:tcW w:w="5528" w:type="dxa"/>
            <w:gridSpan w:val="2"/>
          </w:tcPr>
          <w:p w14:paraId="16E7A53F" w14:textId="1ACE8857" w:rsidR="007268C4" w:rsidRPr="006A669B" w:rsidRDefault="007268C4">
            <w:pPr>
              <w:pStyle w:val="TableParagraph"/>
              <w:spacing w:before="114"/>
              <w:ind w:left="108"/>
              <w:rPr>
                <w:b/>
              </w:rPr>
            </w:pPr>
          </w:p>
        </w:tc>
      </w:tr>
      <w:tr w:rsidR="007268C4" w:rsidRPr="006A669B" w14:paraId="41F52DE9" w14:textId="77777777" w:rsidTr="00970CAA">
        <w:trPr>
          <w:trHeight w:val="266"/>
        </w:trPr>
        <w:tc>
          <w:tcPr>
            <w:tcW w:w="10916" w:type="dxa"/>
            <w:gridSpan w:val="4"/>
            <w:shd w:val="clear" w:color="auto" w:fill="DDD9C3"/>
          </w:tcPr>
          <w:p w14:paraId="58013904" w14:textId="77777777" w:rsidR="007268C4" w:rsidRPr="006A669B" w:rsidRDefault="00267159">
            <w:pPr>
              <w:pStyle w:val="TableParagraph"/>
              <w:spacing w:before="35"/>
              <w:rPr>
                <w:b/>
              </w:rPr>
            </w:pPr>
            <w:r w:rsidRPr="006A669B">
              <w:rPr>
                <w:b/>
              </w:rPr>
              <w:t>Job Details</w:t>
            </w:r>
          </w:p>
        </w:tc>
      </w:tr>
      <w:tr w:rsidR="007268C4" w:rsidRPr="006A669B" w14:paraId="1387A319" w14:textId="77777777" w:rsidTr="00970CAA">
        <w:trPr>
          <w:trHeight w:val="7678"/>
        </w:trPr>
        <w:tc>
          <w:tcPr>
            <w:tcW w:w="10916" w:type="dxa"/>
            <w:gridSpan w:val="4"/>
          </w:tcPr>
          <w:p w14:paraId="1A2D4BBB" w14:textId="77777777" w:rsidR="006A669B" w:rsidRPr="006A669B" w:rsidRDefault="006A669B" w:rsidP="006A669B">
            <w:pPr>
              <w:jc w:val="both"/>
              <w:outlineLvl w:val="2"/>
              <w:rPr>
                <w:rFonts w:eastAsia="Times New Roman"/>
              </w:rPr>
            </w:pPr>
            <w:r w:rsidRPr="006A669B">
              <w:rPr>
                <w:rFonts w:eastAsia="Times New Roman"/>
              </w:rPr>
              <w:t xml:space="preserve">Peel Senior Link, a non-profit charitable organization established in 1991, </w:t>
            </w:r>
            <w:r w:rsidRPr="006A669B">
              <w:rPr>
                <w:shd w:val="clear" w:color="auto" w:fill="FFFFFF"/>
              </w:rPr>
              <w:t xml:space="preserve">provides </w:t>
            </w:r>
            <w:proofErr w:type="gramStart"/>
            <w:r w:rsidRPr="006A669B">
              <w:rPr>
                <w:shd w:val="clear" w:color="auto" w:fill="FFFFFF"/>
              </w:rPr>
              <w:t>supports</w:t>
            </w:r>
            <w:proofErr w:type="gramEnd"/>
            <w:r w:rsidRPr="006A669B">
              <w:rPr>
                <w:shd w:val="clear" w:color="auto" w:fill="FFFFFF"/>
              </w:rPr>
              <w:t xml:space="preserve"> for daily living to seniors, to clients across 11 designated senior’s buildings and </w:t>
            </w:r>
            <w:proofErr w:type="spellStart"/>
            <w:r w:rsidRPr="006A669B">
              <w:rPr>
                <w:shd w:val="clear" w:color="auto" w:fill="FFFFFF"/>
              </w:rPr>
              <w:t>neighbourhoods</w:t>
            </w:r>
            <w:proofErr w:type="spellEnd"/>
            <w:r w:rsidRPr="006A669B">
              <w:rPr>
                <w:shd w:val="clear" w:color="auto" w:fill="FFFFFF"/>
              </w:rPr>
              <w:t>, in the Region of Peel.</w:t>
            </w:r>
            <w:r w:rsidRPr="006A669B">
              <w:rPr>
                <w:rFonts w:eastAsia="Times New Roman"/>
              </w:rPr>
              <w:t xml:space="preserve"> Peel Senior Link maximizes independent living--helping seniors live with dignity, </w:t>
            </w:r>
            <w:proofErr w:type="gramStart"/>
            <w:r w:rsidRPr="006A669B">
              <w:rPr>
                <w:rFonts w:eastAsia="Times New Roman"/>
              </w:rPr>
              <w:t>stability</w:t>
            </w:r>
            <w:proofErr w:type="gramEnd"/>
            <w:r w:rsidRPr="006A669B">
              <w:rPr>
                <w:rFonts w:eastAsia="Times New Roman"/>
              </w:rPr>
              <w:t xml:space="preserve"> and safety.</w:t>
            </w:r>
            <w:r w:rsidRPr="006A669B">
              <w:rPr>
                <w:rFonts w:eastAsia="Times New Roman"/>
                <w:b/>
                <w:bCs/>
              </w:rPr>
              <w:t xml:space="preserve">  </w:t>
            </w:r>
            <w:r w:rsidRPr="006A669B">
              <w:rPr>
                <w:rFonts w:eastAsia="Times New Roman"/>
              </w:rPr>
              <w:t>Peel Senior Link is funded by the Ministry of Health and Long-Term Care through Ontario Health (Central), grants, and personal and corporate donations.</w:t>
            </w:r>
          </w:p>
          <w:p w14:paraId="56BEFFE7" w14:textId="77777777" w:rsidR="006A669B" w:rsidRPr="006A669B" w:rsidRDefault="006A669B" w:rsidP="006A669B"/>
          <w:p w14:paraId="786C18E1" w14:textId="77777777" w:rsidR="006A669B" w:rsidRPr="006A669B" w:rsidRDefault="006A669B" w:rsidP="006A669B">
            <w:pPr>
              <w:tabs>
                <w:tab w:val="left" w:pos="-720"/>
              </w:tabs>
              <w:ind w:right="4"/>
              <w:jc w:val="both"/>
              <w:rPr>
                <w:rFonts w:eastAsia="Times New Roman"/>
              </w:rPr>
            </w:pPr>
            <w:r w:rsidRPr="006A669B">
              <w:rPr>
                <w:rFonts w:eastAsia="Times New Roman"/>
              </w:rPr>
              <w:t xml:space="preserve">We are currently seeking a </w:t>
            </w:r>
            <w:r w:rsidRPr="006A669B">
              <w:rPr>
                <w:rFonts w:eastAsia="Times New Roman"/>
                <w:b/>
              </w:rPr>
              <w:t>Finance Manager</w:t>
            </w:r>
            <w:r w:rsidRPr="006A669B">
              <w:rPr>
                <w:rFonts w:eastAsia="Times New Roman"/>
              </w:rPr>
              <w:t xml:space="preserve">.  Reporting to the Chief Operating Officer, and a member of the Senior Leadership Team, this position is responsible for providing strategic leadership and management of the financial function of the agency.  </w:t>
            </w:r>
          </w:p>
          <w:p w14:paraId="66037961" w14:textId="77777777" w:rsidR="006A669B" w:rsidRPr="006A669B" w:rsidRDefault="006A669B" w:rsidP="006A669B">
            <w:pPr>
              <w:tabs>
                <w:tab w:val="left" w:pos="-720"/>
              </w:tabs>
              <w:ind w:right="4"/>
              <w:jc w:val="both"/>
              <w:rPr>
                <w:rFonts w:eastAsia="Times New Roman"/>
              </w:rPr>
            </w:pPr>
          </w:p>
          <w:p w14:paraId="2E547201" w14:textId="77777777" w:rsidR="006A669B" w:rsidRPr="006A669B" w:rsidRDefault="006A669B" w:rsidP="006A669B">
            <w:pPr>
              <w:tabs>
                <w:tab w:val="left" w:pos="-720"/>
              </w:tabs>
              <w:ind w:right="4"/>
              <w:jc w:val="both"/>
              <w:rPr>
                <w:rFonts w:eastAsia="Times New Roman"/>
              </w:rPr>
            </w:pPr>
            <w:r w:rsidRPr="006A669B">
              <w:rPr>
                <w:rFonts w:eastAsia="Times New Roman"/>
              </w:rPr>
              <w:t>The incumbent oversees all financial operations for the organization including general accounting services, financial analysis, reporting to external funders, budget planning and forecasting and internal financial reporting and controls.</w:t>
            </w:r>
          </w:p>
          <w:p w14:paraId="78A65C30" w14:textId="77777777" w:rsidR="006A669B" w:rsidRPr="006A669B" w:rsidRDefault="006A669B" w:rsidP="006A669B">
            <w:pPr>
              <w:tabs>
                <w:tab w:val="left" w:pos="-720"/>
              </w:tabs>
              <w:ind w:right="4"/>
              <w:jc w:val="both"/>
              <w:rPr>
                <w:rFonts w:eastAsia="Times New Roman"/>
              </w:rPr>
            </w:pPr>
          </w:p>
          <w:p w14:paraId="212B96C0" w14:textId="77777777" w:rsidR="006A669B" w:rsidRPr="006A669B" w:rsidRDefault="006A669B" w:rsidP="006A669B">
            <w:pPr>
              <w:tabs>
                <w:tab w:val="left" w:pos="-720"/>
              </w:tabs>
              <w:ind w:right="4"/>
              <w:jc w:val="both"/>
              <w:rPr>
                <w:rFonts w:eastAsia="Times New Roman"/>
              </w:rPr>
            </w:pPr>
            <w:r w:rsidRPr="006A669B">
              <w:rPr>
                <w:rFonts w:eastAsia="Times New Roman"/>
              </w:rPr>
              <w:t xml:space="preserve">This is a permanent full-time position with </w:t>
            </w:r>
            <w:proofErr w:type="gramStart"/>
            <w:r w:rsidRPr="006A669B">
              <w:rPr>
                <w:rFonts w:eastAsia="Times New Roman"/>
              </w:rPr>
              <w:t>competitive</w:t>
            </w:r>
            <w:proofErr w:type="gramEnd"/>
            <w:r w:rsidRPr="006A669B">
              <w:rPr>
                <w:rFonts w:eastAsia="Times New Roman"/>
              </w:rPr>
              <w:t xml:space="preserve"> salary and benefits.</w:t>
            </w:r>
          </w:p>
          <w:p w14:paraId="2042FA3A" w14:textId="77777777" w:rsidR="006A669B" w:rsidRPr="006A669B" w:rsidRDefault="006A669B" w:rsidP="006A669B">
            <w:pPr>
              <w:tabs>
                <w:tab w:val="left" w:pos="-720"/>
              </w:tabs>
              <w:ind w:right="4"/>
              <w:jc w:val="both"/>
              <w:rPr>
                <w:rFonts w:eastAsia="Times New Roman"/>
              </w:rPr>
            </w:pPr>
          </w:p>
          <w:p w14:paraId="44863892" w14:textId="77777777" w:rsidR="006A669B" w:rsidRPr="006A669B" w:rsidRDefault="006A669B" w:rsidP="006A669B">
            <w:pPr>
              <w:tabs>
                <w:tab w:val="left" w:pos="-720"/>
              </w:tabs>
              <w:ind w:right="-1712"/>
              <w:jc w:val="both"/>
              <w:rPr>
                <w:rFonts w:eastAsia="Times New Roman"/>
                <w:lang w:eastAsia="en-CA"/>
              </w:rPr>
            </w:pPr>
            <w:r w:rsidRPr="006A669B">
              <w:rPr>
                <w:rFonts w:eastAsia="Times New Roman"/>
                <w:lang w:eastAsia="en-CA"/>
              </w:rPr>
              <w:t>Key Responsibilities:</w:t>
            </w:r>
          </w:p>
          <w:p w14:paraId="6C350709" w14:textId="77777777" w:rsidR="006A669B" w:rsidRPr="006A669B" w:rsidRDefault="006A669B" w:rsidP="006A669B">
            <w:pPr>
              <w:jc w:val="both"/>
              <w:rPr>
                <w:rFonts w:eastAsia="Times New Roman"/>
                <w:b/>
                <w:lang w:eastAsia="en-CA"/>
              </w:rPr>
            </w:pPr>
          </w:p>
          <w:p w14:paraId="495BE7D8"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Preparation and submission of financial reports and funding submissions that go to government agencies, partners, and other funders.</w:t>
            </w:r>
          </w:p>
          <w:p w14:paraId="65DA21CF"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Prepares monthly financial statements with budget variance analysis for Senior Management Team.</w:t>
            </w:r>
          </w:p>
          <w:p w14:paraId="7C4FE1F4"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Prepares financial statements and presents, to Senior Management Team (SMT), as well as, to the Board of Directors, through the Finance, Audit &amp; Risk Management committee.</w:t>
            </w:r>
          </w:p>
          <w:p w14:paraId="1F9C5317"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 xml:space="preserve">Provides recommendations for budget adjustments and corrective action </w:t>
            </w:r>
            <w:proofErr w:type="gramStart"/>
            <w:r w:rsidRPr="006A669B">
              <w:rPr>
                <w:lang w:val="en-GB"/>
              </w:rPr>
              <w:t>in order to</w:t>
            </w:r>
            <w:proofErr w:type="gramEnd"/>
            <w:r w:rsidRPr="006A669B">
              <w:rPr>
                <w:lang w:val="en-GB"/>
              </w:rPr>
              <w:t xml:space="preserve"> achieve approved financial plan.</w:t>
            </w:r>
          </w:p>
          <w:p w14:paraId="4B2C602A"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Oversees the annual budget forecasting process and develops final budget in collaboration with SMT.</w:t>
            </w:r>
          </w:p>
          <w:p w14:paraId="0071F7B0"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 xml:space="preserve">Responsible and accountable for developing and implementing all financial policies, </w:t>
            </w:r>
            <w:proofErr w:type="gramStart"/>
            <w:r w:rsidRPr="006A669B">
              <w:rPr>
                <w:lang w:val="en-GB"/>
              </w:rPr>
              <w:t>procedures</w:t>
            </w:r>
            <w:proofErr w:type="gramEnd"/>
            <w:r w:rsidRPr="006A669B">
              <w:rPr>
                <w:lang w:val="en-GB"/>
              </w:rPr>
              <w:t xml:space="preserve"> and internal controls.</w:t>
            </w:r>
          </w:p>
          <w:p w14:paraId="2F37D8E8"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Ensures the integrity of all agency-wide financial information, accounting systems and financial reporting.</w:t>
            </w:r>
          </w:p>
          <w:p w14:paraId="0C88F814"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Coordinates and supervises the annual year-end process for the agency in collaboration with the external audit firm.</w:t>
            </w:r>
          </w:p>
          <w:p w14:paraId="7DA1D44B"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Supervises and leads team in payroll and accounts receivable/payable.</w:t>
            </w:r>
          </w:p>
          <w:p w14:paraId="445A2C35" w14:textId="77777777" w:rsidR="006A669B" w:rsidRPr="006A669B" w:rsidRDefault="006A669B" w:rsidP="006A669B">
            <w:pPr>
              <w:pStyle w:val="ListParagraph"/>
              <w:widowControl/>
              <w:numPr>
                <w:ilvl w:val="0"/>
                <w:numId w:val="7"/>
              </w:numPr>
              <w:autoSpaceDE/>
              <w:autoSpaceDN/>
              <w:contextualSpacing/>
              <w:jc w:val="both"/>
              <w:rPr>
                <w:lang w:val="en-GB"/>
              </w:rPr>
            </w:pPr>
            <w:r w:rsidRPr="006A669B">
              <w:rPr>
                <w:lang w:val="en-GB"/>
              </w:rPr>
              <w:t>Collaborates with SMT, internal and external representatives.</w:t>
            </w:r>
          </w:p>
          <w:p w14:paraId="525EBF26" w14:textId="77777777" w:rsidR="006A669B" w:rsidRPr="006A669B" w:rsidRDefault="006A669B" w:rsidP="006A669B">
            <w:pPr>
              <w:jc w:val="both"/>
              <w:rPr>
                <w:lang w:val="en-GB"/>
              </w:rPr>
            </w:pPr>
          </w:p>
          <w:p w14:paraId="17D8031A" w14:textId="77777777" w:rsidR="006A669B" w:rsidRPr="006A669B" w:rsidRDefault="006A669B" w:rsidP="006A669B">
            <w:pPr>
              <w:jc w:val="both"/>
              <w:rPr>
                <w:lang w:val="en-GB"/>
              </w:rPr>
            </w:pPr>
          </w:p>
          <w:p w14:paraId="54FBBE4E" w14:textId="77777777" w:rsidR="006A669B" w:rsidRPr="006A669B" w:rsidRDefault="006A669B" w:rsidP="006A669B">
            <w:pPr>
              <w:jc w:val="both"/>
              <w:rPr>
                <w:rFonts w:eastAsia="Times New Roman"/>
                <w:lang w:eastAsia="en-CA"/>
              </w:rPr>
            </w:pPr>
          </w:p>
          <w:p w14:paraId="58C0A993" w14:textId="77777777" w:rsidR="006A669B" w:rsidRPr="006A669B" w:rsidRDefault="006A669B" w:rsidP="006A669B">
            <w:pPr>
              <w:jc w:val="both"/>
              <w:rPr>
                <w:rFonts w:eastAsia="Times New Roman"/>
                <w:lang w:eastAsia="en-CA"/>
              </w:rPr>
            </w:pPr>
          </w:p>
          <w:p w14:paraId="7236542D" w14:textId="77777777" w:rsidR="006A669B" w:rsidRPr="006A669B" w:rsidRDefault="006A669B" w:rsidP="006A669B">
            <w:pPr>
              <w:jc w:val="both"/>
              <w:rPr>
                <w:rFonts w:eastAsia="Times New Roman"/>
                <w:lang w:eastAsia="en-CA"/>
              </w:rPr>
            </w:pPr>
          </w:p>
          <w:p w14:paraId="29483224" w14:textId="77777777" w:rsidR="006A669B" w:rsidRPr="006A669B" w:rsidRDefault="006A669B" w:rsidP="006A669B">
            <w:pPr>
              <w:jc w:val="both"/>
              <w:rPr>
                <w:rFonts w:eastAsia="Times New Roman"/>
                <w:lang w:eastAsia="en-CA"/>
              </w:rPr>
            </w:pPr>
          </w:p>
          <w:p w14:paraId="51B86937" w14:textId="77777777" w:rsidR="006A669B" w:rsidRPr="006A669B" w:rsidRDefault="006A669B" w:rsidP="006A669B">
            <w:pPr>
              <w:jc w:val="both"/>
              <w:rPr>
                <w:rFonts w:eastAsia="Times New Roman"/>
                <w:lang w:eastAsia="en-CA"/>
              </w:rPr>
            </w:pPr>
          </w:p>
          <w:p w14:paraId="2AA95087" w14:textId="77777777" w:rsidR="006A669B" w:rsidRPr="006A669B" w:rsidRDefault="006A669B" w:rsidP="006A669B">
            <w:pPr>
              <w:jc w:val="both"/>
              <w:rPr>
                <w:rFonts w:eastAsia="Times New Roman"/>
                <w:lang w:eastAsia="en-CA"/>
              </w:rPr>
            </w:pPr>
            <w:r w:rsidRPr="006A669B">
              <w:rPr>
                <w:rFonts w:eastAsia="Times New Roman"/>
                <w:lang w:eastAsia="en-CA"/>
              </w:rPr>
              <w:t>The ideal candidate has:</w:t>
            </w:r>
          </w:p>
          <w:p w14:paraId="3C8313F3" w14:textId="77777777" w:rsidR="006A669B" w:rsidRPr="006A669B" w:rsidRDefault="006A669B" w:rsidP="006A669B">
            <w:pPr>
              <w:jc w:val="both"/>
              <w:rPr>
                <w:rFonts w:eastAsia="Times New Roman"/>
                <w:b/>
                <w:lang w:eastAsia="en-CA"/>
              </w:rPr>
            </w:pPr>
          </w:p>
          <w:p w14:paraId="0BA12101"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Post-secondary degree in Business and/or Accounting and Finance, combined with CPA (Chartered Professional Accountant) designation or an international accounting designation</w:t>
            </w:r>
          </w:p>
          <w:p w14:paraId="3F7BE108"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3-5 years of experience in financial planning, financial management, and accounting/financial reporting systems and procedures, ideally in a not-for-profit environment</w:t>
            </w:r>
          </w:p>
          <w:p w14:paraId="0E74B631"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2-3 years of supervisory and leadership experience</w:t>
            </w:r>
          </w:p>
          <w:p w14:paraId="2E7E37D0"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Knowledge of government and other funding agency structures and procedures a strong asset</w:t>
            </w:r>
          </w:p>
          <w:p w14:paraId="3B300160"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Experience with implementation of new software related to accounting and payroll a strong asset</w:t>
            </w:r>
          </w:p>
          <w:p w14:paraId="3BB19F69"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Excellent verbal, written communication skills and presentation skills</w:t>
            </w:r>
          </w:p>
          <w:p w14:paraId="283D4953"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Excellent collaborative skills and teamwork skills.</w:t>
            </w:r>
          </w:p>
          <w:p w14:paraId="5232C83F"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 xml:space="preserve">Flexible, </w:t>
            </w:r>
            <w:proofErr w:type="gramStart"/>
            <w:r w:rsidRPr="006A669B">
              <w:rPr>
                <w:rFonts w:eastAsia="Times New Roman"/>
                <w:lang w:eastAsia="en-CA"/>
              </w:rPr>
              <w:t>adaptable</w:t>
            </w:r>
            <w:proofErr w:type="gramEnd"/>
            <w:r w:rsidRPr="006A669B">
              <w:rPr>
                <w:rFonts w:eastAsia="Times New Roman"/>
                <w:lang w:eastAsia="en-CA"/>
              </w:rPr>
              <w:t xml:space="preserve"> and responsive to change</w:t>
            </w:r>
          </w:p>
          <w:p w14:paraId="01390397"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Knowledge of financial and payroll systems (</w:t>
            </w:r>
            <w:proofErr w:type="spellStart"/>
            <w:r w:rsidRPr="006A669B">
              <w:rPr>
                <w:rFonts w:eastAsia="Times New Roman"/>
                <w:lang w:eastAsia="en-CA"/>
              </w:rPr>
              <w:t>Quickbooks</w:t>
            </w:r>
            <w:proofErr w:type="spellEnd"/>
            <w:r w:rsidRPr="006A669B">
              <w:rPr>
                <w:rFonts w:eastAsia="Times New Roman"/>
                <w:lang w:eastAsia="en-CA"/>
              </w:rPr>
              <w:t xml:space="preserve"> and ADP) </w:t>
            </w:r>
          </w:p>
          <w:p w14:paraId="034B5E26"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 xml:space="preserve">Knowledge of Microsoft Dynamics Great Plains </w:t>
            </w:r>
          </w:p>
          <w:p w14:paraId="7D67844F" w14:textId="77777777" w:rsidR="006A669B" w:rsidRPr="006A669B" w:rsidRDefault="006A669B" w:rsidP="006A669B">
            <w:pPr>
              <w:pStyle w:val="ListParagraph"/>
              <w:widowControl/>
              <w:numPr>
                <w:ilvl w:val="0"/>
                <w:numId w:val="6"/>
              </w:numPr>
              <w:autoSpaceDE/>
              <w:autoSpaceDN/>
              <w:contextualSpacing/>
              <w:jc w:val="both"/>
              <w:rPr>
                <w:rFonts w:eastAsia="Times New Roman"/>
                <w:lang w:eastAsia="en-CA"/>
              </w:rPr>
            </w:pPr>
            <w:r w:rsidRPr="006A669B">
              <w:rPr>
                <w:rFonts w:eastAsia="Times New Roman"/>
                <w:lang w:eastAsia="en-CA"/>
              </w:rPr>
              <w:t>Adept in the use of MS Office applications</w:t>
            </w:r>
          </w:p>
          <w:p w14:paraId="6436AF43" w14:textId="77777777" w:rsidR="00970CAA" w:rsidRPr="006A669B" w:rsidRDefault="00970CAA" w:rsidP="00970CAA">
            <w:pPr>
              <w:pStyle w:val="TableParagraph"/>
              <w:spacing w:before="57"/>
              <w:ind w:right="96"/>
              <w:jc w:val="both"/>
              <w:rPr>
                <w:bCs/>
              </w:rPr>
            </w:pPr>
          </w:p>
          <w:p w14:paraId="06E063B3" w14:textId="370F28DF" w:rsidR="00970CAA" w:rsidRPr="006A669B" w:rsidRDefault="00970CAA" w:rsidP="00970CAA">
            <w:pPr>
              <w:pStyle w:val="TableParagraph"/>
              <w:spacing w:before="57"/>
              <w:ind w:right="96"/>
              <w:jc w:val="both"/>
              <w:rPr>
                <w:bCs/>
              </w:rPr>
            </w:pPr>
            <w:r w:rsidRPr="006A669B">
              <w:rPr>
                <w:bCs/>
              </w:rPr>
              <w:t>Job Type: Permanent Salaried, Full-time - Hybrid</w:t>
            </w:r>
          </w:p>
          <w:p w14:paraId="695D854B" w14:textId="77777777" w:rsidR="00970CAA" w:rsidRPr="006A669B" w:rsidRDefault="00970CAA" w:rsidP="00970CAA">
            <w:pPr>
              <w:pStyle w:val="TableParagraph"/>
              <w:spacing w:before="57"/>
              <w:ind w:right="96"/>
              <w:jc w:val="both"/>
              <w:rPr>
                <w:bCs/>
              </w:rPr>
            </w:pPr>
            <w:r w:rsidRPr="006A669B">
              <w:rPr>
                <w:bCs/>
              </w:rPr>
              <w:t>Salary:  $73,600.00 - $80,000 per year</w:t>
            </w:r>
          </w:p>
          <w:p w14:paraId="43CF8216" w14:textId="77777777" w:rsidR="00970CAA" w:rsidRPr="006A669B" w:rsidRDefault="00970CAA" w:rsidP="00970CAA">
            <w:pPr>
              <w:pStyle w:val="TableParagraph"/>
              <w:spacing w:before="57"/>
              <w:ind w:right="96"/>
              <w:jc w:val="both"/>
              <w:rPr>
                <w:bCs/>
              </w:rPr>
            </w:pPr>
            <w:r w:rsidRPr="006A669B">
              <w:rPr>
                <w:bCs/>
              </w:rPr>
              <w:t>Benefits:</w:t>
            </w:r>
          </w:p>
          <w:p w14:paraId="0ABE58CB" w14:textId="77777777" w:rsidR="00970CAA" w:rsidRPr="006A669B" w:rsidRDefault="00970CAA" w:rsidP="00970CAA">
            <w:pPr>
              <w:pStyle w:val="TableParagraph"/>
              <w:numPr>
                <w:ilvl w:val="0"/>
                <w:numId w:val="5"/>
              </w:numPr>
              <w:spacing w:before="57"/>
              <w:ind w:right="96"/>
              <w:jc w:val="both"/>
              <w:rPr>
                <w:bCs/>
              </w:rPr>
            </w:pPr>
            <w:r w:rsidRPr="006A669B">
              <w:rPr>
                <w:bCs/>
              </w:rPr>
              <w:t>Dental care</w:t>
            </w:r>
          </w:p>
          <w:p w14:paraId="43610C35" w14:textId="77777777" w:rsidR="00970CAA" w:rsidRPr="006A669B" w:rsidRDefault="00970CAA" w:rsidP="00970CAA">
            <w:pPr>
              <w:pStyle w:val="TableParagraph"/>
              <w:numPr>
                <w:ilvl w:val="0"/>
                <w:numId w:val="5"/>
              </w:numPr>
              <w:spacing w:before="57"/>
              <w:ind w:right="96"/>
              <w:jc w:val="both"/>
              <w:rPr>
                <w:bCs/>
              </w:rPr>
            </w:pPr>
            <w:r w:rsidRPr="006A669B">
              <w:rPr>
                <w:bCs/>
              </w:rPr>
              <w:t>Extended health care</w:t>
            </w:r>
          </w:p>
          <w:p w14:paraId="7D1E2A63" w14:textId="77777777" w:rsidR="00970CAA" w:rsidRPr="006A669B" w:rsidRDefault="00970CAA" w:rsidP="00970CAA">
            <w:pPr>
              <w:pStyle w:val="TableParagraph"/>
              <w:numPr>
                <w:ilvl w:val="0"/>
                <w:numId w:val="5"/>
              </w:numPr>
              <w:spacing w:before="57"/>
              <w:ind w:right="96"/>
              <w:jc w:val="both"/>
              <w:rPr>
                <w:bCs/>
              </w:rPr>
            </w:pPr>
            <w:r w:rsidRPr="006A669B">
              <w:rPr>
                <w:bCs/>
              </w:rPr>
              <w:t>Life insurance</w:t>
            </w:r>
          </w:p>
          <w:p w14:paraId="094D0FB4" w14:textId="77777777" w:rsidR="00970CAA" w:rsidRPr="006A669B" w:rsidRDefault="00970CAA" w:rsidP="00970CAA">
            <w:pPr>
              <w:pStyle w:val="TableParagraph"/>
              <w:numPr>
                <w:ilvl w:val="0"/>
                <w:numId w:val="5"/>
              </w:numPr>
              <w:spacing w:before="57"/>
              <w:ind w:right="96"/>
              <w:jc w:val="both"/>
              <w:rPr>
                <w:bCs/>
              </w:rPr>
            </w:pPr>
            <w:r w:rsidRPr="006A669B">
              <w:rPr>
                <w:bCs/>
              </w:rPr>
              <w:t>On-site parking</w:t>
            </w:r>
          </w:p>
          <w:p w14:paraId="6C602A0E" w14:textId="77777777" w:rsidR="00970CAA" w:rsidRPr="006A669B" w:rsidRDefault="00970CAA" w:rsidP="00970CAA">
            <w:pPr>
              <w:pStyle w:val="TableParagraph"/>
              <w:numPr>
                <w:ilvl w:val="0"/>
                <w:numId w:val="5"/>
              </w:numPr>
              <w:spacing w:before="57"/>
              <w:ind w:right="96"/>
              <w:jc w:val="both"/>
              <w:rPr>
                <w:bCs/>
              </w:rPr>
            </w:pPr>
            <w:r w:rsidRPr="006A669B">
              <w:rPr>
                <w:bCs/>
              </w:rPr>
              <w:t>Professional fees reimbursement</w:t>
            </w:r>
          </w:p>
          <w:p w14:paraId="403A47BB" w14:textId="77777777" w:rsidR="00970CAA" w:rsidRPr="006A669B" w:rsidRDefault="00970CAA" w:rsidP="00970CAA">
            <w:pPr>
              <w:pStyle w:val="TableParagraph"/>
              <w:spacing w:before="57"/>
              <w:ind w:right="96"/>
              <w:jc w:val="both"/>
              <w:rPr>
                <w:bCs/>
              </w:rPr>
            </w:pPr>
            <w:r w:rsidRPr="006A669B">
              <w:rPr>
                <w:bCs/>
              </w:rPr>
              <w:t>Location:</w:t>
            </w:r>
          </w:p>
          <w:p w14:paraId="16DEB976" w14:textId="77777777" w:rsidR="00970CAA" w:rsidRPr="006A669B" w:rsidRDefault="00970CAA" w:rsidP="00970CAA">
            <w:pPr>
              <w:pStyle w:val="TableParagraph"/>
              <w:spacing w:before="57"/>
              <w:ind w:right="96"/>
              <w:jc w:val="both"/>
              <w:rPr>
                <w:bCs/>
              </w:rPr>
            </w:pPr>
            <w:r w:rsidRPr="006A669B">
              <w:rPr>
                <w:bCs/>
              </w:rPr>
              <w:t xml:space="preserve">50 </w:t>
            </w:r>
            <w:proofErr w:type="spellStart"/>
            <w:r w:rsidRPr="006A669B">
              <w:rPr>
                <w:bCs/>
              </w:rPr>
              <w:t>Burnhamthorpe</w:t>
            </w:r>
            <w:proofErr w:type="spellEnd"/>
            <w:r w:rsidRPr="006A669B">
              <w:rPr>
                <w:bCs/>
              </w:rPr>
              <w:t xml:space="preserve"> Road West, Suite 300</w:t>
            </w:r>
          </w:p>
          <w:p w14:paraId="797DA640" w14:textId="77777777" w:rsidR="00970CAA" w:rsidRPr="006A669B" w:rsidRDefault="00970CAA" w:rsidP="00970CAA">
            <w:pPr>
              <w:pStyle w:val="TableParagraph"/>
              <w:spacing w:before="57"/>
              <w:ind w:right="96"/>
              <w:jc w:val="both"/>
              <w:rPr>
                <w:bCs/>
              </w:rPr>
            </w:pPr>
            <w:r w:rsidRPr="006A669B">
              <w:rPr>
                <w:bCs/>
              </w:rPr>
              <w:t>Mississauga, ON, L5B 3C2</w:t>
            </w:r>
          </w:p>
          <w:p w14:paraId="645FE2E7" w14:textId="77777777" w:rsidR="00970CAA" w:rsidRPr="006A669B" w:rsidRDefault="00970CAA" w:rsidP="00970CAA">
            <w:pPr>
              <w:pStyle w:val="TableParagraph"/>
              <w:spacing w:before="57"/>
              <w:ind w:right="96"/>
              <w:jc w:val="both"/>
              <w:rPr>
                <w:bCs/>
              </w:rPr>
            </w:pPr>
          </w:p>
          <w:p w14:paraId="4D90A949" w14:textId="77777777" w:rsidR="00970CAA" w:rsidRPr="006A669B" w:rsidRDefault="00970CAA" w:rsidP="00970CAA">
            <w:pPr>
              <w:pStyle w:val="TableParagraph"/>
              <w:spacing w:before="57"/>
              <w:ind w:right="96"/>
              <w:jc w:val="both"/>
              <w:rPr>
                <w:bCs/>
              </w:rPr>
            </w:pPr>
            <w:r w:rsidRPr="006A669B">
              <w:rPr>
                <w:bCs/>
              </w:rPr>
              <w:t>We thank everyone for their expression of interest; however, only those candidates selected for an interview will be contacted.</w:t>
            </w:r>
          </w:p>
          <w:p w14:paraId="41BB288A" w14:textId="77777777" w:rsidR="00970CAA" w:rsidRPr="006A669B" w:rsidRDefault="00970CAA" w:rsidP="00970CAA">
            <w:pPr>
              <w:pStyle w:val="TableParagraph"/>
              <w:spacing w:before="57"/>
              <w:ind w:right="96"/>
              <w:jc w:val="both"/>
              <w:rPr>
                <w:bCs/>
              </w:rPr>
            </w:pPr>
          </w:p>
          <w:p w14:paraId="440F19DD" w14:textId="7083D816" w:rsidR="00970CAA" w:rsidRPr="006A669B" w:rsidRDefault="00970CAA" w:rsidP="00970CAA">
            <w:pPr>
              <w:pStyle w:val="TableParagraph"/>
              <w:spacing w:before="57"/>
              <w:ind w:right="96"/>
              <w:jc w:val="both"/>
              <w:rPr>
                <w:bCs/>
              </w:rPr>
            </w:pPr>
            <w:r w:rsidRPr="006A669B">
              <w:rPr>
                <w:bCs/>
              </w:rPr>
              <w:t>Peel Senior Link is committed to developing an inclusive, barrier-free selection process and work environment. If you require accommodation at any stage of the recruitment and selection process, please contact Human Resources at 905 712 4413 x326.</w:t>
            </w:r>
          </w:p>
          <w:p w14:paraId="12600410" w14:textId="77777777" w:rsidR="00970CAA" w:rsidRPr="006A669B" w:rsidRDefault="00970CAA" w:rsidP="00970CAA">
            <w:pPr>
              <w:pStyle w:val="TableParagraph"/>
              <w:spacing w:before="57"/>
              <w:ind w:right="96"/>
              <w:jc w:val="both"/>
              <w:rPr>
                <w:bCs/>
              </w:rPr>
            </w:pPr>
          </w:p>
          <w:p w14:paraId="088885F3" w14:textId="77777777" w:rsidR="00970CAA" w:rsidRPr="006A669B" w:rsidRDefault="00970CAA" w:rsidP="00970CAA">
            <w:pPr>
              <w:pStyle w:val="TableParagraph"/>
              <w:spacing w:before="57"/>
              <w:ind w:right="96"/>
              <w:jc w:val="both"/>
              <w:rPr>
                <w:bCs/>
              </w:rPr>
            </w:pPr>
            <w:r w:rsidRPr="006A669B">
              <w:rPr>
                <w:bCs/>
              </w:rPr>
              <w:t xml:space="preserve">Peel Senior Link has a mandatory vaccination policy for all employees </w:t>
            </w:r>
            <w:proofErr w:type="gramStart"/>
            <w:r w:rsidRPr="006A669B">
              <w:rPr>
                <w:bCs/>
              </w:rPr>
              <w:t>in order to</w:t>
            </w:r>
            <w:proofErr w:type="gramEnd"/>
            <w:r w:rsidRPr="006A669B">
              <w:rPr>
                <w:bCs/>
              </w:rPr>
              <w:t xml:space="preserve"> protect our clients, our staff, and the communities we work in. All job applicants will be required to declare their vaccination status during the recruitment process. As a condition of employment, all new hires must be fully vaccinated and provide proof of their vaccination. Peel Senior Link will comply with its Human Rights obligations and accommodate employees who are legally entitled to accommodation.</w:t>
            </w:r>
          </w:p>
          <w:p w14:paraId="78876E3A" w14:textId="77777777" w:rsidR="00970CAA" w:rsidRPr="006A669B" w:rsidRDefault="00970CAA" w:rsidP="00970CAA">
            <w:pPr>
              <w:pStyle w:val="TableParagraph"/>
              <w:spacing w:before="57"/>
              <w:ind w:right="96"/>
              <w:jc w:val="both"/>
              <w:rPr>
                <w:bCs/>
              </w:rPr>
            </w:pPr>
          </w:p>
          <w:p w14:paraId="7E9C94B0" w14:textId="77777777" w:rsidR="00970CAA" w:rsidRPr="006A669B" w:rsidRDefault="00970CAA" w:rsidP="00970CAA">
            <w:pPr>
              <w:pStyle w:val="TableParagraph"/>
              <w:spacing w:before="57"/>
              <w:ind w:right="96"/>
              <w:jc w:val="both"/>
              <w:rPr>
                <w:bCs/>
              </w:rPr>
            </w:pPr>
            <w:r w:rsidRPr="006A669B">
              <w:rPr>
                <w:bCs/>
              </w:rPr>
              <w:t>To learn more about Peel Senior Link please visit:</w:t>
            </w:r>
          </w:p>
          <w:p w14:paraId="7BAF6A22" w14:textId="1D276832" w:rsidR="00267159" w:rsidRPr="006A669B" w:rsidRDefault="00970CAA" w:rsidP="00970CAA">
            <w:pPr>
              <w:pStyle w:val="TableParagraph"/>
              <w:spacing w:before="57"/>
              <w:ind w:right="96"/>
              <w:jc w:val="both"/>
            </w:pPr>
            <w:r w:rsidRPr="006A669B">
              <w:rPr>
                <w:bCs/>
              </w:rPr>
              <w:t>https://peelseniorlink.com/about-us/</w:t>
            </w:r>
          </w:p>
        </w:tc>
      </w:tr>
    </w:tbl>
    <w:p w14:paraId="5588BC97" w14:textId="159F2DAD" w:rsidR="007268C4" w:rsidRDefault="007268C4">
      <w:pPr>
        <w:pStyle w:val="BodyText"/>
        <w:rPr>
          <w:rFonts w:ascii="Times New Roman"/>
        </w:rPr>
      </w:pPr>
    </w:p>
    <w:p w14:paraId="79B7C3C5" w14:textId="115B141F" w:rsidR="007268C4" w:rsidRDefault="007268C4">
      <w:pPr>
        <w:pStyle w:val="BodyText"/>
        <w:rPr>
          <w:rFonts w:ascii="Times New Roman"/>
        </w:rPr>
      </w:pPr>
    </w:p>
    <w:p w14:paraId="19DE5162" w14:textId="399B255D" w:rsidR="007268C4" w:rsidRDefault="007268C4">
      <w:pPr>
        <w:pStyle w:val="BodyText"/>
        <w:rPr>
          <w:rFonts w:ascii="Times New Roman"/>
        </w:rPr>
      </w:pPr>
    </w:p>
    <w:p w14:paraId="69B0976E" w14:textId="77777777" w:rsidR="007268C4" w:rsidRDefault="007268C4">
      <w:pPr>
        <w:pStyle w:val="BodyText"/>
        <w:spacing w:before="6"/>
        <w:rPr>
          <w:rFonts w:ascii="Times New Roman"/>
          <w:sz w:val="18"/>
        </w:rPr>
      </w:pPr>
    </w:p>
    <w:p w14:paraId="36AE476E" w14:textId="500E3FDD" w:rsidR="007268C4" w:rsidRDefault="007268C4" w:rsidP="00E97D04">
      <w:pPr>
        <w:pStyle w:val="BodyText"/>
        <w:spacing w:before="59"/>
        <w:ind w:right="335"/>
      </w:pPr>
    </w:p>
    <w:sectPr w:rsidR="007268C4">
      <w:type w:val="continuous"/>
      <w:pgSz w:w="12240" w:h="15840"/>
      <w:pgMar w:top="12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5D"/>
    <w:multiLevelType w:val="hybridMultilevel"/>
    <w:tmpl w:val="27240DA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 w15:restartNumberingAfterBreak="0">
    <w:nsid w:val="2FF64017"/>
    <w:multiLevelType w:val="hybridMultilevel"/>
    <w:tmpl w:val="C850460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 w15:restartNumberingAfterBreak="0">
    <w:nsid w:val="34061AD3"/>
    <w:multiLevelType w:val="hybridMultilevel"/>
    <w:tmpl w:val="A894B90C"/>
    <w:lvl w:ilvl="0" w:tplc="73B431F0">
      <w:numFmt w:val="bullet"/>
      <w:lvlText w:val=""/>
      <w:lvlJc w:val="left"/>
      <w:pPr>
        <w:ind w:left="827" w:hanging="360"/>
      </w:pPr>
      <w:rPr>
        <w:rFonts w:hint="default"/>
        <w:w w:val="99"/>
        <w:lang w:val="en-US" w:eastAsia="en-US" w:bidi="en-US"/>
      </w:rPr>
    </w:lvl>
    <w:lvl w:ilvl="1" w:tplc="3D7877B6">
      <w:numFmt w:val="bullet"/>
      <w:lvlText w:val="•"/>
      <w:lvlJc w:val="left"/>
      <w:pPr>
        <w:ind w:left="1694" w:hanging="360"/>
      </w:pPr>
      <w:rPr>
        <w:rFonts w:hint="default"/>
        <w:lang w:val="en-US" w:eastAsia="en-US" w:bidi="en-US"/>
      </w:rPr>
    </w:lvl>
    <w:lvl w:ilvl="2" w:tplc="E744B654">
      <w:numFmt w:val="bullet"/>
      <w:lvlText w:val="•"/>
      <w:lvlJc w:val="left"/>
      <w:pPr>
        <w:ind w:left="2569" w:hanging="360"/>
      </w:pPr>
      <w:rPr>
        <w:rFonts w:hint="default"/>
        <w:lang w:val="en-US" w:eastAsia="en-US" w:bidi="en-US"/>
      </w:rPr>
    </w:lvl>
    <w:lvl w:ilvl="3" w:tplc="22A46490">
      <w:numFmt w:val="bullet"/>
      <w:lvlText w:val="•"/>
      <w:lvlJc w:val="left"/>
      <w:pPr>
        <w:ind w:left="3443" w:hanging="360"/>
      </w:pPr>
      <w:rPr>
        <w:rFonts w:hint="default"/>
        <w:lang w:val="en-US" w:eastAsia="en-US" w:bidi="en-US"/>
      </w:rPr>
    </w:lvl>
    <w:lvl w:ilvl="4" w:tplc="6E4260AC">
      <w:numFmt w:val="bullet"/>
      <w:lvlText w:val="•"/>
      <w:lvlJc w:val="left"/>
      <w:pPr>
        <w:ind w:left="4318" w:hanging="360"/>
      </w:pPr>
      <w:rPr>
        <w:rFonts w:hint="default"/>
        <w:lang w:val="en-US" w:eastAsia="en-US" w:bidi="en-US"/>
      </w:rPr>
    </w:lvl>
    <w:lvl w:ilvl="5" w:tplc="1FEADEEA">
      <w:numFmt w:val="bullet"/>
      <w:lvlText w:val="•"/>
      <w:lvlJc w:val="left"/>
      <w:pPr>
        <w:ind w:left="5193" w:hanging="360"/>
      </w:pPr>
      <w:rPr>
        <w:rFonts w:hint="default"/>
        <w:lang w:val="en-US" w:eastAsia="en-US" w:bidi="en-US"/>
      </w:rPr>
    </w:lvl>
    <w:lvl w:ilvl="6" w:tplc="661E2988">
      <w:numFmt w:val="bullet"/>
      <w:lvlText w:val="•"/>
      <w:lvlJc w:val="left"/>
      <w:pPr>
        <w:ind w:left="6067" w:hanging="360"/>
      </w:pPr>
      <w:rPr>
        <w:rFonts w:hint="default"/>
        <w:lang w:val="en-US" w:eastAsia="en-US" w:bidi="en-US"/>
      </w:rPr>
    </w:lvl>
    <w:lvl w:ilvl="7" w:tplc="ABB26878">
      <w:numFmt w:val="bullet"/>
      <w:lvlText w:val="•"/>
      <w:lvlJc w:val="left"/>
      <w:pPr>
        <w:ind w:left="6942" w:hanging="360"/>
      </w:pPr>
      <w:rPr>
        <w:rFonts w:hint="default"/>
        <w:lang w:val="en-US" w:eastAsia="en-US" w:bidi="en-US"/>
      </w:rPr>
    </w:lvl>
    <w:lvl w:ilvl="8" w:tplc="2CC4E048">
      <w:numFmt w:val="bullet"/>
      <w:lvlText w:val="•"/>
      <w:lvlJc w:val="left"/>
      <w:pPr>
        <w:ind w:left="7816" w:hanging="360"/>
      </w:pPr>
      <w:rPr>
        <w:rFonts w:hint="default"/>
        <w:lang w:val="en-US" w:eastAsia="en-US" w:bidi="en-US"/>
      </w:rPr>
    </w:lvl>
  </w:abstractNum>
  <w:abstractNum w:abstractNumId="3" w15:restartNumberingAfterBreak="0">
    <w:nsid w:val="3C014111"/>
    <w:multiLevelType w:val="hybridMultilevel"/>
    <w:tmpl w:val="E8ACBDE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80142C"/>
    <w:multiLevelType w:val="hybridMultilevel"/>
    <w:tmpl w:val="4538CB8C"/>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5" w15:restartNumberingAfterBreak="0">
    <w:nsid w:val="606C4FD4"/>
    <w:multiLevelType w:val="hybridMultilevel"/>
    <w:tmpl w:val="5E2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55FD7"/>
    <w:multiLevelType w:val="hybridMultilevel"/>
    <w:tmpl w:val="FEB6148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16cid:durableId="1066874938">
    <w:abstractNumId w:val="2"/>
  </w:num>
  <w:num w:numId="2" w16cid:durableId="639117205">
    <w:abstractNumId w:val="1"/>
  </w:num>
  <w:num w:numId="3" w16cid:durableId="102505729">
    <w:abstractNumId w:val="4"/>
  </w:num>
  <w:num w:numId="4" w16cid:durableId="1298800003">
    <w:abstractNumId w:val="6"/>
  </w:num>
  <w:num w:numId="5" w16cid:durableId="1069302384">
    <w:abstractNumId w:val="0"/>
  </w:num>
  <w:num w:numId="6" w16cid:durableId="1557861536">
    <w:abstractNumId w:val="3"/>
  </w:num>
  <w:num w:numId="7" w16cid:durableId="2049522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C4"/>
    <w:rsid w:val="00103E5B"/>
    <w:rsid w:val="002349D1"/>
    <w:rsid w:val="00267159"/>
    <w:rsid w:val="002E51AF"/>
    <w:rsid w:val="005069AC"/>
    <w:rsid w:val="006A669B"/>
    <w:rsid w:val="007268C4"/>
    <w:rsid w:val="00877D5D"/>
    <w:rsid w:val="00970CAA"/>
    <w:rsid w:val="00A66F22"/>
    <w:rsid w:val="00E97D04"/>
    <w:rsid w:val="00EE2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27F"/>
  <w15:docId w15:val="{ABAE7608-35FB-4682-8990-EC8535B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s://d2zp5xs5cp8zlg.cloudfront.net/image-20038-8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Brown</dc:creator>
  <cp:lastModifiedBy>Althea Alli</cp:lastModifiedBy>
  <cp:revision>2</cp:revision>
  <dcterms:created xsi:type="dcterms:W3CDTF">2023-01-12T18:29:00Z</dcterms:created>
  <dcterms:modified xsi:type="dcterms:W3CDTF">2023-01-12T18:29:00Z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2022-12-12T00:00:00Z</vt:filetime>
  </property>
</Properties>
</file>